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E7" w:rsidRPr="009258FF" w:rsidRDefault="00882BE7">
      <w:pPr>
        <w:rPr>
          <w:rFonts w:ascii="Century Gothic" w:hAnsi="Century Gothic"/>
          <w:sz w:val="24"/>
          <w:szCs w:val="24"/>
        </w:rPr>
      </w:pPr>
      <w:r w:rsidRPr="009258FF">
        <w:rPr>
          <w:rFonts w:ascii="Century Gothic" w:hAnsi="Century Gothic"/>
          <w:sz w:val="24"/>
          <w:szCs w:val="24"/>
        </w:rPr>
        <w:br/>
        <w:t>Rien n’est plus dangereux</w:t>
      </w:r>
      <w:r w:rsidRPr="009258FF">
        <w:rPr>
          <w:rFonts w:ascii="Century Gothic" w:hAnsi="Century Gothic"/>
          <w:sz w:val="24"/>
          <w:szCs w:val="24"/>
        </w:rPr>
        <w:br/>
        <w:t>qu’un ressuscité,</w:t>
      </w:r>
      <w:r w:rsidRPr="009258FF">
        <w:rPr>
          <w:rFonts w:ascii="Century Gothic" w:hAnsi="Century Gothic"/>
          <w:sz w:val="24"/>
          <w:szCs w:val="24"/>
        </w:rPr>
        <w:br/>
        <w:t xml:space="preserve">toujours à faire rouler </w:t>
      </w:r>
      <w:r w:rsidRPr="009258FF">
        <w:rPr>
          <w:rFonts w:ascii="Century Gothic" w:hAnsi="Century Gothic"/>
          <w:sz w:val="24"/>
          <w:szCs w:val="24"/>
        </w:rPr>
        <w:br/>
        <w:t>la pierre de ses tombeaux,</w:t>
      </w:r>
      <w:bookmarkStart w:id="0" w:name="_GoBack"/>
      <w:bookmarkEnd w:id="0"/>
      <w:r w:rsidRPr="009258FF">
        <w:rPr>
          <w:rFonts w:ascii="Century Gothic" w:hAnsi="Century Gothic"/>
          <w:sz w:val="24"/>
          <w:szCs w:val="24"/>
        </w:rPr>
        <w:br/>
        <w:t xml:space="preserve">toujours à s’en aller </w:t>
      </w:r>
      <w:r w:rsidRPr="009258FF">
        <w:rPr>
          <w:rFonts w:ascii="Century Gothic" w:hAnsi="Century Gothic"/>
          <w:sz w:val="24"/>
          <w:szCs w:val="24"/>
        </w:rPr>
        <w:br/>
        <w:t>de ses cimetières,</w:t>
      </w:r>
      <w:r w:rsidRPr="009258FF">
        <w:rPr>
          <w:rFonts w:ascii="Century Gothic" w:hAnsi="Century Gothic"/>
          <w:sz w:val="24"/>
          <w:szCs w:val="24"/>
        </w:rPr>
        <w:br/>
        <w:t>toujours à laisser les tombes vides.</w:t>
      </w:r>
      <w:r w:rsidRPr="009258FF">
        <w:rPr>
          <w:rFonts w:ascii="Century Gothic" w:hAnsi="Century Gothic"/>
          <w:sz w:val="24"/>
          <w:szCs w:val="24"/>
        </w:rPr>
        <w:br/>
        <w:t xml:space="preserve">On l’enferme dedans </w:t>
      </w:r>
      <w:r w:rsidRPr="009258FF">
        <w:rPr>
          <w:rFonts w:ascii="Century Gothic" w:hAnsi="Century Gothic"/>
          <w:sz w:val="24"/>
          <w:szCs w:val="24"/>
        </w:rPr>
        <w:br/>
        <w:t>il est déjà parti</w:t>
      </w:r>
      <w:r w:rsidRPr="009258FF">
        <w:rPr>
          <w:rFonts w:ascii="Century Gothic" w:hAnsi="Century Gothic"/>
          <w:sz w:val="24"/>
          <w:szCs w:val="24"/>
        </w:rPr>
        <w:br/>
        <w:t>il est dehors</w:t>
      </w:r>
      <w:r w:rsidRPr="009258FF">
        <w:rPr>
          <w:rFonts w:ascii="Century Gothic" w:hAnsi="Century Gothic"/>
          <w:sz w:val="24"/>
          <w:szCs w:val="24"/>
        </w:rPr>
        <w:br/>
        <w:t>il est devant</w:t>
      </w:r>
      <w:r w:rsidRPr="009258FF">
        <w:rPr>
          <w:rFonts w:ascii="Century Gothic" w:hAnsi="Century Gothic"/>
          <w:sz w:val="24"/>
          <w:szCs w:val="24"/>
        </w:rPr>
        <w:br/>
        <w:t>il n’est plus mort</w:t>
      </w:r>
      <w:r w:rsidRPr="009258FF">
        <w:rPr>
          <w:rFonts w:ascii="Century Gothic" w:hAnsi="Century Gothic"/>
          <w:sz w:val="24"/>
          <w:szCs w:val="24"/>
        </w:rPr>
        <w:br/>
        <w:t>il est vivant !</w:t>
      </w:r>
      <w:r w:rsidRPr="009258FF">
        <w:rPr>
          <w:rFonts w:ascii="Century Gothic" w:hAnsi="Century Gothic"/>
          <w:sz w:val="24"/>
          <w:szCs w:val="24"/>
        </w:rPr>
        <w:br/>
      </w:r>
    </w:p>
    <w:p w:rsidR="009258FF" w:rsidRPr="009258FF" w:rsidRDefault="009258FF" w:rsidP="009258FF">
      <w:pPr>
        <w:rPr>
          <w:rFonts w:ascii="Century Gothic" w:hAnsi="Century Gothic"/>
          <w:b/>
          <w:sz w:val="20"/>
          <w:szCs w:val="20"/>
        </w:rPr>
      </w:pPr>
      <w:r w:rsidRPr="009258FF">
        <w:rPr>
          <w:rFonts w:ascii="Century Gothic" w:hAnsi="Century Gothic"/>
          <w:b/>
          <w:sz w:val="20"/>
          <w:szCs w:val="20"/>
        </w:rPr>
        <w:t xml:space="preserve">Texte de J. DEBRUYNNE, </w:t>
      </w:r>
      <w:r w:rsidRPr="009258FF">
        <w:rPr>
          <w:rFonts w:ascii="Century Gothic" w:hAnsi="Century Gothic"/>
          <w:b/>
          <w:i/>
          <w:sz w:val="20"/>
          <w:szCs w:val="20"/>
        </w:rPr>
        <w:t>Mourir,</w:t>
      </w:r>
      <w:r w:rsidRPr="009258FF">
        <w:rPr>
          <w:rFonts w:ascii="Century Gothic" w:hAnsi="Century Gothic"/>
          <w:b/>
          <w:sz w:val="20"/>
          <w:szCs w:val="20"/>
        </w:rPr>
        <w:t xml:space="preserve"> Desclée, Paris, 1978</w:t>
      </w:r>
    </w:p>
    <w:p w:rsidR="009258FF" w:rsidRPr="00882BE7" w:rsidRDefault="009258FF">
      <w:pPr>
        <w:rPr>
          <w:sz w:val="28"/>
          <w:szCs w:val="28"/>
        </w:rPr>
      </w:pPr>
    </w:p>
    <w:sectPr w:rsidR="009258FF" w:rsidRPr="008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E7"/>
    <w:rsid w:val="00882BE7"/>
    <w:rsid w:val="009258FF"/>
    <w:rsid w:val="009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34B3"/>
  <w15:chartTrackingRefBased/>
  <w15:docId w15:val="{B9936DB1-4075-4BC6-A2C9-08C52CFC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laurence</cp:lastModifiedBy>
  <cp:revision>2</cp:revision>
  <dcterms:created xsi:type="dcterms:W3CDTF">2018-02-07T07:49:00Z</dcterms:created>
  <dcterms:modified xsi:type="dcterms:W3CDTF">2018-02-07T07:49:00Z</dcterms:modified>
</cp:coreProperties>
</file>